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0" w:name="_Toc24724714"/>
      <w:r>
        <w:rPr>
          <w:rFonts w:hint="eastAsia" w:ascii="方正小标宋_GBK" w:hAnsi="方正小标宋_GBK" w:eastAsia="方正小标宋_GBK"/>
          <w:b w:val="0"/>
          <w:bCs w:val="0"/>
          <w:sz w:val="30"/>
        </w:rPr>
        <w:t>大城县</w:t>
      </w:r>
      <w:r>
        <w:rPr>
          <w:rFonts w:hint="eastAsia" w:ascii="方正小标宋_GBK" w:hAnsi="方正小标宋_GBK" w:eastAsia="方正小标宋_GBK"/>
          <w:b w:val="0"/>
          <w:bCs w:val="0"/>
          <w:sz w:val="30"/>
          <w:lang w:eastAsia="zh-CN"/>
        </w:rPr>
        <w:t>自然资源和规划局</w:t>
      </w:r>
      <w:r>
        <w:rPr>
          <w:rFonts w:hint="eastAsia" w:ascii="方正小标宋_GBK" w:hAnsi="方正小标宋_GBK" w:eastAsia="方正小标宋_GBK"/>
          <w:b w:val="0"/>
          <w:bCs w:val="0"/>
          <w:sz w:val="30"/>
        </w:rPr>
        <w:t>政务公开</w:t>
      </w:r>
      <w:bookmarkEnd w:id="0"/>
      <w:r>
        <w:rPr>
          <w:rFonts w:hint="eastAsia" w:ascii="方正小标宋_GBK" w:hAnsi="方正小标宋_GBK" w:eastAsia="方正小标宋_GBK"/>
          <w:b w:val="0"/>
          <w:bCs w:val="0"/>
          <w:sz w:val="30"/>
          <w:lang w:eastAsia="zh-CN"/>
        </w:rPr>
        <w:t>事项清单</w:t>
      </w:r>
    </w:p>
    <w:tbl>
      <w:tblPr>
        <w:tblStyle w:val="3"/>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20"/>
        <w:gridCol w:w="948"/>
        <w:gridCol w:w="2713"/>
        <w:gridCol w:w="1675"/>
        <w:gridCol w:w="1412"/>
        <w:gridCol w:w="1213"/>
        <w:gridCol w:w="232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restart"/>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16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7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1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w:t>
            </w:r>
            <w:bookmarkStart w:id="1" w:name="_GoBack"/>
            <w:bookmarkEnd w:id="1"/>
            <w:r>
              <w:rPr>
                <w:rFonts w:hint="eastAsia" w:ascii="黑体" w:hAnsi="宋体" w:eastAsia="黑体" w:cs="宋体"/>
                <w:color w:val="000000"/>
                <w:kern w:val="0"/>
                <w:sz w:val="22"/>
              </w:rPr>
              <w:t>开主体</w:t>
            </w:r>
          </w:p>
        </w:tc>
        <w:tc>
          <w:tcPr>
            <w:tcW w:w="232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4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3" w:type="dxa"/>
            <w:vMerge w:val="continue"/>
            <w:vAlign w:val="center"/>
          </w:tcPr>
          <w:p>
            <w:pPr>
              <w:widowControl/>
              <w:jc w:val="left"/>
              <w:rPr>
                <w:rFonts w:ascii="黑体" w:hAnsi="宋体" w:eastAsia="黑体" w:cs="宋体"/>
                <w:color w:val="000000"/>
                <w:kern w:val="0"/>
                <w:sz w:val="22"/>
              </w:rPr>
            </w:pPr>
          </w:p>
        </w:tc>
        <w:tc>
          <w:tcPr>
            <w:tcW w:w="1675" w:type="dxa"/>
            <w:vMerge w:val="continue"/>
            <w:vAlign w:val="center"/>
          </w:tcPr>
          <w:p>
            <w:pPr>
              <w:widowControl/>
              <w:jc w:val="left"/>
              <w:rPr>
                <w:rFonts w:ascii="黑体" w:hAnsi="宋体" w:eastAsia="黑体" w:cs="宋体"/>
                <w:color w:val="000000"/>
                <w:kern w:val="0"/>
                <w:sz w:val="22"/>
              </w:rPr>
            </w:pPr>
          </w:p>
        </w:tc>
        <w:tc>
          <w:tcPr>
            <w:tcW w:w="1412" w:type="dxa"/>
            <w:vMerge w:val="continue"/>
            <w:vAlign w:val="center"/>
          </w:tcPr>
          <w:p>
            <w:pPr>
              <w:widowControl/>
              <w:jc w:val="left"/>
              <w:rPr>
                <w:rFonts w:ascii="黑体" w:hAnsi="宋体" w:eastAsia="黑体" w:cs="宋体"/>
                <w:color w:val="000000"/>
                <w:kern w:val="0"/>
                <w:sz w:val="22"/>
              </w:rPr>
            </w:pPr>
          </w:p>
        </w:tc>
        <w:tc>
          <w:tcPr>
            <w:tcW w:w="1213" w:type="dxa"/>
            <w:vMerge w:val="continue"/>
            <w:vAlign w:val="center"/>
          </w:tcPr>
          <w:p>
            <w:pPr>
              <w:widowControl/>
              <w:jc w:val="left"/>
              <w:rPr>
                <w:rFonts w:ascii="黑体" w:hAnsi="宋体" w:eastAsia="黑体" w:cs="宋体"/>
                <w:color w:val="000000"/>
                <w:kern w:val="0"/>
                <w:sz w:val="22"/>
              </w:rPr>
            </w:pPr>
          </w:p>
        </w:tc>
        <w:tc>
          <w:tcPr>
            <w:tcW w:w="2327"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征地管理政策</w:t>
            </w:r>
          </w:p>
        </w:tc>
        <w:tc>
          <w:tcPr>
            <w:tcW w:w="948"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27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w:t>
            </w:r>
            <w:r>
              <w:rPr>
                <w:rFonts w:ascii="仿宋_GB2312" w:eastAsia="仿宋_GB2312"/>
                <w:color w:val="000000"/>
                <w:sz w:val="18"/>
                <w:szCs w:val="18"/>
              </w:rPr>
              <w:t>1.</w:t>
            </w:r>
            <w:r>
              <w:rPr>
                <w:rFonts w:hint="eastAsia" w:ascii="仿宋_GB2312" w:eastAsia="仿宋_GB2312"/>
                <w:color w:val="000000"/>
                <w:sz w:val="18"/>
                <w:szCs w:val="18"/>
              </w:rPr>
              <w:t>法律法规和规章；</w:t>
            </w:r>
            <w:r>
              <w:rPr>
                <w:rFonts w:ascii="仿宋_GB2312" w:eastAsia="仿宋_GB2312"/>
                <w:color w:val="000000"/>
                <w:sz w:val="18"/>
                <w:szCs w:val="18"/>
              </w:rPr>
              <w:t>2.</w:t>
            </w:r>
            <w:r>
              <w:rPr>
                <w:rFonts w:hint="eastAsia" w:ascii="仿宋_GB2312" w:eastAsia="仿宋_GB2312"/>
                <w:color w:val="000000"/>
                <w:sz w:val="18"/>
                <w:szCs w:val="18"/>
              </w:rPr>
              <w:t>征地前期准备、征地审查报批、征地组织实施规范性文件；</w:t>
            </w:r>
            <w:r>
              <w:rPr>
                <w:rFonts w:ascii="仿宋_GB2312" w:eastAsia="仿宋_GB2312"/>
                <w:color w:val="000000"/>
                <w:sz w:val="18"/>
                <w:szCs w:val="18"/>
              </w:rPr>
              <w:t>3.</w:t>
            </w:r>
            <w:r>
              <w:rPr>
                <w:rFonts w:hint="eastAsia" w:ascii="仿宋_GB2312" w:eastAsia="仿宋_GB2312"/>
                <w:color w:val="000000"/>
                <w:sz w:val="18"/>
                <w:szCs w:val="18"/>
              </w:rPr>
              <w:t>土地补偿费和安置补助费标准（征地区片综合地价或征地统一年产值标准）；</w:t>
            </w:r>
            <w:r>
              <w:rPr>
                <w:rFonts w:ascii="仿宋_GB2312" w:eastAsia="仿宋_GB2312"/>
                <w:color w:val="000000"/>
                <w:sz w:val="18"/>
                <w:szCs w:val="18"/>
              </w:rPr>
              <w:t>4.</w:t>
            </w:r>
            <w:r>
              <w:rPr>
                <w:rFonts w:hint="eastAsia" w:ascii="仿宋_GB2312" w:eastAsia="仿宋_GB2312"/>
                <w:color w:val="000000"/>
                <w:sz w:val="18"/>
                <w:szCs w:val="18"/>
              </w:rPr>
              <w:t>地上附着物和青苗补偿费标准；〔</w:t>
            </w:r>
            <w:r>
              <w:rPr>
                <w:rFonts w:ascii="仿宋_GB2312" w:eastAsia="仿宋_GB2312"/>
                <w:color w:val="000000"/>
                <w:sz w:val="18"/>
                <w:szCs w:val="18"/>
              </w:rPr>
              <w:t>*</w:t>
            </w:r>
            <w:r>
              <w:rPr>
                <w:rFonts w:hint="eastAsia" w:ascii="仿宋_GB2312" w:eastAsia="仿宋_GB2312"/>
                <w:color w:val="000000"/>
                <w:sz w:val="18"/>
                <w:szCs w:val="18"/>
              </w:rPr>
              <w:t>农村村民住宅拆迁补偿标准〕；〔</w:t>
            </w:r>
            <w:r>
              <w:rPr>
                <w:rFonts w:ascii="仿宋_GB2312" w:eastAsia="仿宋_GB2312"/>
                <w:color w:val="000000"/>
                <w:sz w:val="18"/>
                <w:szCs w:val="18"/>
              </w:rPr>
              <w:t>*</w:t>
            </w:r>
            <w:r>
              <w:rPr>
                <w:rFonts w:hint="eastAsia" w:ascii="仿宋_GB2312" w:eastAsia="仿宋_GB2312"/>
                <w:color w:val="000000"/>
                <w:sz w:val="18"/>
                <w:szCs w:val="18"/>
              </w:rPr>
              <w:t>征地工作流程图〕。</w:t>
            </w:r>
          </w:p>
        </w:tc>
        <w:tc>
          <w:tcPr>
            <w:tcW w:w="1675"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12"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w:t>
            </w:r>
            <w:r>
              <w:rPr>
                <w:rFonts w:ascii="仿宋_GB2312" w:eastAsia="仿宋_GB2312"/>
                <w:color w:val="000000"/>
                <w:sz w:val="18"/>
                <w:szCs w:val="18"/>
              </w:rPr>
              <w:t>20</w:t>
            </w:r>
            <w:r>
              <w:rPr>
                <w:rFonts w:hint="eastAsia" w:ascii="仿宋_GB2312" w:eastAsia="仿宋_GB2312"/>
                <w:color w:val="000000"/>
                <w:sz w:val="18"/>
                <w:szCs w:val="18"/>
              </w:rPr>
              <w:t>个工作日内予以公开，法律法规另有规定的除外。</w:t>
            </w:r>
          </w:p>
        </w:tc>
        <w:tc>
          <w:tcPr>
            <w:tcW w:w="1213" w:type="dxa"/>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t xml:space="preserve">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ascii="仿宋_GB2312" w:eastAsia="仿宋_GB2312"/>
                <w:color w:val="000000"/>
                <w:sz w:val="18"/>
                <w:szCs w:val="18"/>
              </w:rPr>
            </w:pP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240" w:lineRule="exact"/>
              <w:jc w:val="center"/>
              <w:rPr>
                <w:rFonts w:ascii="仿宋_GB2312" w:eastAsia="仿宋_GB2312"/>
                <w:color w:val="000000"/>
                <w:sz w:val="18"/>
                <w:szCs w:val="18"/>
              </w:rPr>
            </w:pPr>
          </w:p>
        </w:tc>
        <w:tc>
          <w:tcPr>
            <w:tcW w:w="551"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jc w:val="center"/>
              <w:rPr>
                <w:rFonts w:ascii="仿宋" w:hAnsi="仿宋" w:eastAsia="仿宋" w:cs="仿宋"/>
                <w:sz w:val="18"/>
                <w:szCs w:val="18"/>
              </w:rPr>
            </w:pPr>
            <w:r>
              <w:rPr>
                <w:rFonts w:hint="eastAsia" w:ascii="仿宋" w:hAnsi="仿宋" w:eastAsia="仿宋" w:cs="仿宋"/>
                <w:sz w:val="18"/>
                <w:szCs w:val="18"/>
              </w:rPr>
              <w:t>征</w:t>
            </w:r>
            <w:r>
              <w:rPr>
                <w:rFonts w:ascii="仿宋" w:hAnsi="仿宋" w:eastAsia="仿宋" w:cs="仿宋"/>
                <w:sz w:val="18"/>
                <w:szCs w:val="18"/>
              </w:rPr>
              <w:t xml:space="preserve">  </w:t>
            </w:r>
            <w:r>
              <w:rPr>
                <w:rFonts w:hint="eastAsia" w:ascii="仿宋" w:hAnsi="仿宋" w:eastAsia="仿宋" w:cs="仿宋"/>
                <w:sz w:val="18"/>
                <w:szCs w:val="18"/>
              </w:rPr>
              <w:t>地</w:t>
            </w:r>
            <w:r>
              <w:rPr>
                <w:rFonts w:ascii="仿宋" w:hAnsi="仿宋" w:eastAsia="仿宋" w:cs="仿宋"/>
                <w:sz w:val="18"/>
                <w:szCs w:val="18"/>
              </w:rPr>
              <w:t xml:space="preserve">  </w:t>
            </w:r>
            <w:r>
              <w:rPr>
                <w:rFonts w:hint="eastAsia" w:ascii="仿宋" w:hAnsi="仿宋" w:eastAsia="仿宋" w:cs="仿宋"/>
                <w:sz w:val="18"/>
                <w:szCs w:val="18"/>
              </w:rPr>
              <w:t>前</w:t>
            </w:r>
            <w:r>
              <w:rPr>
                <w:rFonts w:ascii="仿宋" w:hAnsi="仿宋" w:eastAsia="仿宋" w:cs="仿宋"/>
                <w:sz w:val="18"/>
                <w:szCs w:val="18"/>
              </w:rPr>
              <w:t xml:space="preserve">  </w:t>
            </w:r>
            <w:r>
              <w:rPr>
                <w:rFonts w:hint="eastAsia" w:ascii="仿宋" w:hAnsi="仿宋" w:eastAsia="仿宋" w:cs="仿宋"/>
                <w:sz w:val="18"/>
                <w:szCs w:val="18"/>
              </w:rPr>
              <w:t>期</w:t>
            </w:r>
            <w:r>
              <w:rPr>
                <w:rFonts w:ascii="仿宋" w:hAnsi="仿宋" w:eastAsia="仿宋" w:cs="仿宋"/>
                <w:sz w:val="18"/>
                <w:szCs w:val="18"/>
              </w:rPr>
              <w:t xml:space="preserve">  </w:t>
            </w:r>
            <w:r>
              <w:rPr>
                <w:rFonts w:hint="eastAsia" w:ascii="仿宋" w:hAnsi="仿宋" w:eastAsia="仿宋" w:cs="仿宋"/>
                <w:sz w:val="18"/>
                <w:szCs w:val="18"/>
              </w:rPr>
              <w:t>准</w:t>
            </w:r>
            <w:r>
              <w:rPr>
                <w:rFonts w:ascii="仿宋" w:hAnsi="仿宋" w:eastAsia="仿宋" w:cs="仿宋"/>
                <w:sz w:val="18"/>
                <w:szCs w:val="18"/>
              </w:rPr>
              <w:t xml:space="preserve">    </w:t>
            </w:r>
            <w:r>
              <w:rPr>
                <w:rFonts w:hint="eastAsia" w:ascii="仿宋" w:hAnsi="仿宋" w:eastAsia="仿宋" w:cs="仿宋"/>
                <w:sz w:val="18"/>
                <w:szCs w:val="18"/>
              </w:rPr>
              <w:t>备</w:t>
            </w:r>
          </w:p>
          <w:p>
            <w:pPr>
              <w:widowControl/>
              <w:jc w:val="center"/>
              <w:rPr>
                <w:rFonts w:ascii="仿宋_GB2312" w:eastAsia="仿宋_GB2312"/>
                <w:color w:val="000000"/>
                <w:sz w:val="18"/>
                <w:szCs w:val="18"/>
              </w:rPr>
            </w:pPr>
          </w:p>
        </w:tc>
        <w:tc>
          <w:tcPr>
            <w:tcW w:w="948"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2713"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w:t>
            </w:r>
            <w:r>
              <w:rPr>
                <w:rFonts w:ascii="仿宋_GB2312" w:eastAsia="仿宋_GB2312"/>
                <w:color w:val="000000"/>
                <w:sz w:val="18"/>
                <w:szCs w:val="18"/>
              </w:rPr>
              <w:t>1.</w:t>
            </w:r>
            <w:r>
              <w:rPr>
                <w:rFonts w:hint="eastAsia" w:ascii="仿宋_GB2312" w:eastAsia="仿宋_GB2312"/>
                <w:color w:val="000000"/>
                <w:sz w:val="18"/>
                <w:szCs w:val="18"/>
              </w:rPr>
              <w:t>拟征收土地用途；</w:t>
            </w:r>
            <w:r>
              <w:rPr>
                <w:rFonts w:ascii="仿宋_GB2312" w:eastAsia="仿宋_GB2312"/>
                <w:color w:val="000000"/>
                <w:sz w:val="18"/>
                <w:szCs w:val="18"/>
              </w:rPr>
              <w:t>2.</w:t>
            </w:r>
            <w:r>
              <w:rPr>
                <w:rFonts w:hint="eastAsia" w:ascii="仿宋_GB2312" w:eastAsia="仿宋_GB2312"/>
                <w:color w:val="000000"/>
                <w:sz w:val="18"/>
                <w:szCs w:val="18"/>
              </w:rPr>
              <w:t>拟征收土地的位置和范围；</w:t>
            </w:r>
            <w:r>
              <w:rPr>
                <w:rFonts w:ascii="仿宋_GB2312" w:eastAsia="仿宋_GB2312"/>
                <w:color w:val="000000"/>
                <w:sz w:val="18"/>
                <w:szCs w:val="18"/>
              </w:rPr>
              <w:t>3.</w:t>
            </w:r>
            <w:r>
              <w:rPr>
                <w:rFonts w:hint="eastAsia" w:ascii="仿宋_GB2312" w:eastAsia="仿宋_GB2312"/>
                <w:color w:val="000000"/>
                <w:sz w:val="18"/>
                <w:szCs w:val="18"/>
              </w:rPr>
              <w:t>征地补偿标准及安置途径；</w:t>
            </w:r>
            <w:r>
              <w:rPr>
                <w:rFonts w:ascii="仿宋_GB2312" w:eastAsia="仿宋_GB2312"/>
                <w:color w:val="000000"/>
                <w:sz w:val="18"/>
                <w:szCs w:val="18"/>
              </w:rPr>
              <w:t>4.</w:t>
            </w:r>
            <w:r>
              <w:rPr>
                <w:rFonts w:hint="eastAsia" w:ascii="仿宋_GB2312" w:eastAsia="仿宋_GB2312"/>
                <w:color w:val="000000"/>
                <w:sz w:val="18"/>
                <w:szCs w:val="18"/>
              </w:rPr>
              <w:t>开展土地现状调查的安排；</w:t>
            </w:r>
            <w:r>
              <w:rPr>
                <w:rFonts w:ascii="仿宋_GB2312" w:eastAsia="仿宋_GB2312"/>
                <w:color w:val="000000"/>
                <w:sz w:val="18"/>
                <w:szCs w:val="18"/>
              </w:rPr>
              <w:t>5.</w:t>
            </w:r>
            <w:r>
              <w:rPr>
                <w:rFonts w:hint="eastAsia" w:ascii="仿宋_GB2312" w:eastAsia="仿宋_GB2312"/>
                <w:color w:val="000000"/>
                <w:sz w:val="18"/>
                <w:szCs w:val="18"/>
              </w:rPr>
              <w:t>拟征收土地的原用途管控（包括不得抢栽、抢种、抢建等有关规定）；</w:t>
            </w:r>
            <w:r>
              <w:rPr>
                <w:rFonts w:ascii="仿宋_GB2312" w:eastAsia="仿宋_GB2312"/>
                <w:color w:val="000000"/>
                <w:sz w:val="18"/>
                <w:szCs w:val="18"/>
              </w:rPr>
              <w:t>6.</w:t>
            </w:r>
            <w:r>
              <w:rPr>
                <w:rFonts w:hint="eastAsia" w:ascii="仿宋_GB2312" w:eastAsia="仿宋_GB2312"/>
                <w:color w:val="000000"/>
                <w:sz w:val="18"/>
                <w:szCs w:val="18"/>
              </w:rPr>
              <w:t>听证权利；〔</w:t>
            </w:r>
            <w:r>
              <w:rPr>
                <w:rFonts w:ascii="仿宋_GB2312" w:eastAsia="仿宋_GB2312"/>
                <w:color w:val="000000"/>
                <w:sz w:val="18"/>
                <w:szCs w:val="18"/>
              </w:rPr>
              <w:t>*</w:t>
            </w:r>
            <w:r>
              <w:rPr>
                <w:rFonts w:hint="eastAsia" w:ascii="仿宋_GB2312" w:eastAsia="仿宋_GB2312"/>
                <w:color w:val="000000"/>
                <w:sz w:val="18"/>
                <w:szCs w:val="18"/>
              </w:rPr>
              <w:t>对土地现状调查结果有异议的救济措施〕。</w:t>
            </w:r>
          </w:p>
        </w:tc>
        <w:tc>
          <w:tcPr>
            <w:tcW w:w="1675"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412"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ascii="仿宋_GB2312" w:eastAsia="仿宋_GB2312"/>
                <w:color w:val="000000"/>
                <w:sz w:val="18"/>
                <w:szCs w:val="18"/>
              </w:rPr>
            </w:pPr>
          </w:p>
        </w:tc>
        <w:tc>
          <w:tcPr>
            <w:tcW w:w="1213" w:type="dxa"/>
            <w:vMerge w:val="restart"/>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ascii="仿宋_GB2312" w:eastAsia="仿宋_GB2312"/>
                <w:color w:val="000000"/>
                <w:sz w:val="18"/>
                <w:szCs w:val="18"/>
              </w:rPr>
            </w:pPr>
          </w:p>
        </w:tc>
        <w:tc>
          <w:tcPr>
            <w:tcW w:w="720" w:type="dxa"/>
            <w:vAlign w:val="center"/>
          </w:tcPr>
          <w:p>
            <w:pPr>
              <w:widowControl/>
              <w:spacing w:line="240" w:lineRule="exact"/>
              <w:jc w:val="center"/>
              <w:rPr>
                <w:rFonts w:ascii="仿宋_GB2312" w:eastAsia="仿宋_GB2312"/>
                <w:color w:val="000000"/>
                <w:sz w:val="18"/>
                <w:szCs w:val="18"/>
              </w:rPr>
            </w:pPr>
          </w:p>
        </w:tc>
        <w:tc>
          <w:tcPr>
            <w:tcW w:w="709"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Pr>
          <w:p>
            <w:pPr>
              <w:widowControl/>
              <w:jc w:val="center"/>
              <w:rPr>
                <w:rFonts w:ascii="仿宋_GB2312" w:hAnsi="宋体" w:eastAsia="仿宋_GB2312"/>
                <w:color w:val="0000FF"/>
                <w:sz w:val="18"/>
                <w:szCs w:val="18"/>
                <w:highlight w:val="yellow"/>
              </w:rPr>
            </w:pPr>
          </w:p>
        </w:tc>
        <w:tc>
          <w:tcPr>
            <w:tcW w:w="720" w:type="dxa"/>
            <w:vMerge w:val="continue"/>
          </w:tcPr>
          <w:p>
            <w:pPr>
              <w:jc w:val="left"/>
              <w:rPr>
                <w:rFonts w:ascii="仿宋_GB2312" w:hAnsi="宋体" w:eastAsia="仿宋_GB2312"/>
                <w:sz w:val="18"/>
                <w:szCs w:val="18"/>
                <w:highlight w:val="yellow"/>
              </w:rPr>
            </w:pPr>
          </w:p>
        </w:tc>
        <w:tc>
          <w:tcPr>
            <w:tcW w:w="948" w:type="dxa"/>
            <w:vMerge w:val="continue"/>
          </w:tcPr>
          <w:p>
            <w:pPr>
              <w:spacing w:line="240" w:lineRule="exact"/>
              <w:rPr>
                <w:rFonts w:ascii="仿宋_GB2312" w:hAnsi="Times New Roman" w:eastAsia="仿宋_GB2312"/>
                <w:sz w:val="18"/>
                <w:szCs w:val="18"/>
                <w:highlight w:val="yellow"/>
              </w:rPr>
            </w:pPr>
          </w:p>
        </w:tc>
        <w:tc>
          <w:tcPr>
            <w:tcW w:w="2713" w:type="dxa"/>
            <w:vMerge w:val="continue"/>
          </w:tcPr>
          <w:p>
            <w:pPr>
              <w:spacing w:line="240" w:lineRule="exact"/>
              <w:rPr>
                <w:rFonts w:ascii="仿宋_GB2312" w:hAnsi="Times New Roman" w:eastAsia="仿宋_GB2312"/>
                <w:sz w:val="18"/>
                <w:szCs w:val="18"/>
                <w:highlight w:val="yellow"/>
              </w:rPr>
            </w:pPr>
          </w:p>
        </w:tc>
        <w:tc>
          <w:tcPr>
            <w:tcW w:w="1675" w:type="dxa"/>
            <w:vMerge w:val="continue"/>
          </w:tcPr>
          <w:p>
            <w:pPr>
              <w:spacing w:line="240" w:lineRule="exact"/>
              <w:rPr>
                <w:rFonts w:ascii="仿宋_GB2312" w:hAnsi="Times New Roman" w:eastAsia="仿宋_GB2312"/>
                <w:sz w:val="18"/>
                <w:szCs w:val="18"/>
                <w:highlight w:val="yellow"/>
              </w:rPr>
            </w:pPr>
          </w:p>
        </w:tc>
        <w:tc>
          <w:tcPr>
            <w:tcW w:w="1412"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213" w:type="dxa"/>
            <w:vMerge w:val="continue"/>
          </w:tcPr>
          <w:p>
            <w:pPr>
              <w:spacing w:line="240" w:lineRule="exact"/>
              <w:rPr>
                <w:rFonts w:ascii="仿宋_GB2312" w:hAnsi="Times New Roman" w:eastAsia="仿宋_GB2312"/>
                <w:sz w:val="18"/>
                <w:szCs w:val="18"/>
                <w:highlight w:val="yellow"/>
              </w:rPr>
            </w:pPr>
          </w:p>
        </w:tc>
        <w:tc>
          <w:tcPr>
            <w:tcW w:w="2327" w:type="dxa"/>
            <w:vMerge w:val="continue"/>
          </w:tcPr>
          <w:p>
            <w:pPr>
              <w:spacing w:line="240" w:lineRule="exact"/>
              <w:jc w:val="left"/>
              <w:rPr>
                <w:rFonts w:ascii="仿宋_GB2312" w:hAnsi="宋体" w:eastAsia="仿宋_GB2312"/>
                <w:sz w:val="18"/>
                <w:szCs w:val="18"/>
                <w:highlight w:val="yellow"/>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olor w:val="000000"/>
                <w:sz w:val="18"/>
                <w:szCs w:val="18"/>
              </w:rPr>
            </w:pPr>
          </w:p>
        </w:tc>
        <w:tc>
          <w:tcPr>
            <w:tcW w:w="551" w:type="dxa"/>
          </w:tcPr>
          <w:p>
            <w:pPr>
              <w:spacing w:line="240" w:lineRule="exact"/>
              <w:jc w:val="center"/>
              <w:rPr>
                <w:rFonts w:ascii="Times New Roman" w:hAnsi="Times New Roman"/>
                <w:sz w:val="30"/>
                <w:szCs w:val="30"/>
                <w:highlight w:val="yellow"/>
              </w:rPr>
            </w:pPr>
          </w:p>
        </w:tc>
        <w:tc>
          <w:tcPr>
            <w:tcW w:w="720" w:type="dxa"/>
          </w:tcPr>
          <w:p>
            <w:pPr>
              <w:spacing w:line="240" w:lineRule="exact"/>
              <w:jc w:val="center"/>
              <w:rPr>
                <w:rFonts w:ascii="仿宋" w:hAnsi="仿宋" w:eastAsia="仿宋"/>
                <w:sz w:val="30"/>
                <w:szCs w:val="3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center"/>
              <w:rPr>
                <w:rFonts w:ascii="仿宋_GB2312" w:eastAsia="仿宋_GB2312"/>
                <w:color w:val="000000"/>
                <w:sz w:val="18"/>
                <w:szCs w:val="18"/>
              </w:rPr>
            </w:pPr>
          </w:p>
        </w:tc>
        <w:tc>
          <w:tcPr>
            <w:tcW w:w="948"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3" w:type="dxa"/>
            <w:vMerge w:val="restart"/>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征收土地勘测调查表；</w:t>
            </w:r>
          </w:p>
          <w:p>
            <w:pPr>
              <w:spacing w:line="240" w:lineRule="exact"/>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地上附着物和青苗调查登记表；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675"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412"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w:t>
            </w:r>
            <w:r>
              <w:rPr>
                <w:rFonts w:ascii="仿宋_GB2312" w:eastAsia="仿宋_GB2312"/>
                <w:color w:val="000000"/>
                <w:sz w:val="18"/>
                <w:szCs w:val="18"/>
              </w:rPr>
              <w:t>5</w:t>
            </w:r>
            <w:r>
              <w:rPr>
                <w:rFonts w:hint="eastAsia" w:ascii="仿宋_GB2312" w:eastAsia="仿宋_GB2312"/>
                <w:color w:val="000000"/>
                <w:sz w:val="18"/>
                <w:szCs w:val="18"/>
              </w:rPr>
              <w:t>个工作日内，在村公示栏公开。</w:t>
            </w:r>
          </w:p>
        </w:tc>
        <w:tc>
          <w:tcPr>
            <w:tcW w:w="1213" w:type="dxa"/>
            <w:vMerge w:val="restart"/>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br w:type="textWrapping"/>
            </w:r>
          </w:p>
        </w:tc>
        <w:tc>
          <w:tcPr>
            <w:tcW w:w="720" w:type="dxa"/>
            <w:vAlign w:val="center"/>
          </w:tcPr>
          <w:p>
            <w:pPr>
              <w:widowControl/>
              <w:jc w:val="center"/>
              <w:rPr>
                <w:rFonts w:ascii="仿宋_GB2312" w:eastAsia="仿宋_GB2312"/>
                <w:color w:val="000000"/>
                <w:sz w:val="18"/>
                <w:szCs w:val="18"/>
              </w:rPr>
            </w:pPr>
          </w:p>
        </w:tc>
        <w:tc>
          <w:tcPr>
            <w:tcW w:w="709"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Pr>
          <w:p>
            <w:pPr>
              <w:widowControl/>
              <w:jc w:val="center"/>
              <w:rPr>
                <w:rFonts w:ascii="仿宋_GB2312" w:hAnsi="宋体" w:eastAsia="仿宋_GB2312"/>
                <w:color w:val="0000FF"/>
                <w:sz w:val="18"/>
                <w:szCs w:val="18"/>
                <w:highlight w:val="yellow"/>
              </w:rPr>
            </w:pPr>
          </w:p>
        </w:tc>
        <w:tc>
          <w:tcPr>
            <w:tcW w:w="720" w:type="dxa"/>
            <w:vMerge w:val="continue"/>
          </w:tcPr>
          <w:p>
            <w:pPr>
              <w:jc w:val="left"/>
              <w:rPr>
                <w:rFonts w:ascii="仿宋_GB2312" w:hAnsi="宋体" w:eastAsia="仿宋_GB2312"/>
                <w:sz w:val="18"/>
                <w:szCs w:val="18"/>
                <w:highlight w:val="yellow"/>
              </w:rPr>
            </w:pPr>
          </w:p>
        </w:tc>
        <w:tc>
          <w:tcPr>
            <w:tcW w:w="948" w:type="dxa"/>
            <w:vMerge w:val="continue"/>
          </w:tcPr>
          <w:p>
            <w:pPr>
              <w:spacing w:line="240" w:lineRule="exact"/>
              <w:rPr>
                <w:rFonts w:ascii="仿宋_GB2312" w:hAnsi="Times New Roman" w:eastAsia="仿宋_GB2312"/>
                <w:sz w:val="18"/>
                <w:szCs w:val="18"/>
                <w:highlight w:val="yellow"/>
              </w:rPr>
            </w:pPr>
          </w:p>
        </w:tc>
        <w:tc>
          <w:tcPr>
            <w:tcW w:w="2713" w:type="dxa"/>
            <w:vMerge w:val="continue"/>
          </w:tcPr>
          <w:p>
            <w:pPr>
              <w:spacing w:line="240" w:lineRule="exact"/>
              <w:rPr>
                <w:rFonts w:ascii="仿宋_GB2312" w:hAnsi="Times New Roman" w:eastAsia="仿宋_GB2312"/>
                <w:sz w:val="18"/>
                <w:szCs w:val="18"/>
                <w:highlight w:val="yellow"/>
              </w:rPr>
            </w:pPr>
          </w:p>
        </w:tc>
        <w:tc>
          <w:tcPr>
            <w:tcW w:w="1675" w:type="dxa"/>
            <w:vMerge w:val="continue"/>
          </w:tcPr>
          <w:p>
            <w:pPr>
              <w:spacing w:line="240" w:lineRule="exact"/>
              <w:rPr>
                <w:rFonts w:ascii="仿宋_GB2312" w:hAnsi="Times New Roman" w:eastAsia="仿宋_GB2312"/>
                <w:sz w:val="18"/>
                <w:szCs w:val="18"/>
                <w:highlight w:val="yellow"/>
              </w:rPr>
            </w:pPr>
          </w:p>
        </w:tc>
        <w:tc>
          <w:tcPr>
            <w:tcW w:w="1412"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213" w:type="dxa"/>
            <w:vMerge w:val="continue"/>
          </w:tcPr>
          <w:p>
            <w:pPr>
              <w:spacing w:line="240" w:lineRule="exact"/>
              <w:rPr>
                <w:rFonts w:ascii="仿宋_GB2312" w:hAnsi="Times New Roman" w:eastAsia="仿宋_GB2312"/>
                <w:sz w:val="18"/>
                <w:szCs w:val="18"/>
                <w:highlight w:val="yellow"/>
              </w:rPr>
            </w:pPr>
          </w:p>
        </w:tc>
        <w:tc>
          <w:tcPr>
            <w:tcW w:w="2327" w:type="dxa"/>
            <w:vMerge w:val="continue"/>
          </w:tcPr>
          <w:p>
            <w:pPr>
              <w:spacing w:line="240" w:lineRule="exact"/>
              <w:jc w:val="left"/>
              <w:rPr>
                <w:rFonts w:ascii="仿宋_GB2312" w:hAnsi="宋体" w:eastAsia="仿宋_GB2312"/>
                <w:sz w:val="18"/>
                <w:szCs w:val="18"/>
                <w:highlight w:val="yellow"/>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olor w:val="000000"/>
                <w:sz w:val="18"/>
                <w:szCs w:val="18"/>
              </w:rPr>
            </w:pPr>
          </w:p>
        </w:tc>
        <w:tc>
          <w:tcPr>
            <w:tcW w:w="551" w:type="dxa"/>
          </w:tcPr>
          <w:p>
            <w:pPr>
              <w:spacing w:line="240" w:lineRule="exact"/>
              <w:jc w:val="center"/>
              <w:rPr>
                <w:rFonts w:ascii="Times New Roman" w:hAnsi="Times New Roman"/>
                <w:sz w:val="30"/>
                <w:szCs w:val="30"/>
                <w:highlight w:val="yellow"/>
              </w:rPr>
            </w:pPr>
          </w:p>
        </w:tc>
        <w:tc>
          <w:tcPr>
            <w:tcW w:w="720" w:type="dxa"/>
          </w:tcPr>
          <w:p>
            <w:pPr>
              <w:spacing w:line="240" w:lineRule="exact"/>
              <w:jc w:val="center"/>
              <w:rPr>
                <w:rFonts w:ascii="仿宋" w:hAnsi="仿宋" w:eastAsia="仿宋"/>
                <w:sz w:val="30"/>
                <w:szCs w:val="3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tcPr>
          <w:p>
            <w:pPr>
              <w:jc w:val="left"/>
              <w:rPr>
                <w:rFonts w:ascii="仿宋_GB2312" w:hAnsi="宋体" w:eastAsia="仿宋_GB2312"/>
                <w:sz w:val="18"/>
                <w:szCs w:val="18"/>
                <w:highlight w:val="yellow"/>
              </w:rPr>
            </w:pPr>
          </w:p>
        </w:tc>
        <w:tc>
          <w:tcPr>
            <w:tcW w:w="948"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3" w:type="dxa"/>
            <w:vMerge w:val="restart"/>
            <w:vAlign w:val="center"/>
          </w:tcPr>
          <w:p>
            <w:pPr>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《听证通知书》；</w:t>
            </w:r>
          </w:p>
          <w:p>
            <w:pPr>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听证处理意见；</w:t>
            </w:r>
          </w:p>
          <w:p>
            <w:pPr>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听证笔录有关资料〕。</w:t>
            </w:r>
          </w:p>
        </w:tc>
        <w:tc>
          <w:tcPr>
            <w:tcW w:w="1675"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412" w:type="dxa"/>
            <w:vAlign w:val="center"/>
          </w:tcPr>
          <w:p>
            <w:pPr>
              <w:rPr>
                <w:rFonts w:ascii="仿宋_GB2312" w:eastAsia="仿宋_GB2312"/>
                <w:color w:val="000000"/>
                <w:sz w:val="18"/>
                <w:szCs w:val="18"/>
              </w:rPr>
            </w:pPr>
            <w:r>
              <w:rPr>
                <w:rFonts w:hint="eastAsia" w:ascii="仿宋_GB2312" w:eastAsia="仿宋_GB2312"/>
                <w:color w:val="000000"/>
                <w:sz w:val="18"/>
                <w:szCs w:val="18"/>
              </w:rPr>
              <w:t>①《听证通知书》应在组织听证</w:t>
            </w:r>
            <w:r>
              <w:rPr>
                <w:rFonts w:ascii="仿宋_GB2312" w:eastAsia="仿宋_GB2312"/>
                <w:color w:val="000000"/>
                <w:sz w:val="18"/>
                <w:szCs w:val="18"/>
              </w:rPr>
              <w:t>7</w:t>
            </w:r>
            <w:r>
              <w:rPr>
                <w:rFonts w:hint="eastAsia" w:ascii="仿宋_GB2312" w:eastAsia="仿宋_GB2312"/>
                <w:color w:val="000000"/>
                <w:sz w:val="18"/>
                <w:szCs w:val="18"/>
              </w:rPr>
              <w:t>个工作日前予以公开；②其他听证公开内容在拟征地听证工作结束后</w:t>
            </w:r>
            <w:r>
              <w:rPr>
                <w:rFonts w:ascii="仿宋_GB2312" w:eastAsia="仿宋_GB2312"/>
                <w:color w:val="000000"/>
                <w:sz w:val="18"/>
                <w:szCs w:val="18"/>
              </w:rPr>
              <w:t>5</w:t>
            </w:r>
            <w:r>
              <w:rPr>
                <w:rFonts w:hint="eastAsia" w:ascii="仿宋_GB2312" w:eastAsia="仿宋_GB2312"/>
                <w:color w:val="000000"/>
                <w:sz w:val="18"/>
                <w:szCs w:val="18"/>
              </w:rPr>
              <w:t>个工作日内在村公示栏公开。</w:t>
            </w:r>
          </w:p>
        </w:tc>
        <w:tc>
          <w:tcPr>
            <w:tcW w:w="1213" w:type="dxa"/>
            <w:vMerge w:val="restart"/>
            <w:vAlign w:val="center"/>
          </w:tcPr>
          <w:p>
            <w:pPr>
              <w:widowControl/>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br w:type="textWrapping"/>
            </w:r>
          </w:p>
        </w:tc>
        <w:tc>
          <w:tcPr>
            <w:tcW w:w="720" w:type="dxa"/>
            <w:vAlign w:val="center"/>
          </w:tcPr>
          <w:p>
            <w:pPr>
              <w:widowControl/>
              <w:jc w:val="center"/>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Merge w:val="continue"/>
          </w:tcPr>
          <w:p>
            <w:pPr>
              <w:widowControl/>
              <w:jc w:val="center"/>
              <w:rPr>
                <w:rFonts w:ascii="仿宋_GB2312" w:hAnsi="宋体" w:eastAsia="仿宋_GB2312"/>
                <w:color w:val="0000FF"/>
                <w:sz w:val="18"/>
                <w:szCs w:val="18"/>
                <w:highlight w:val="yellow"/>
              </w:rPr>
            </w:pPr>
          </w:p>
        </w:tc>
        <w:tc>
          <w:tcPr>
            <w:tcW w:w="720" w:type="dxa"/>
            <w:vMerge w:val="continue"/>
          </w:tcPr>
          <w:p>
            <w:pPr>
              <w:jc w:val="left"/>
              <w:rPr>
                <w:rFonts w:ascii="仿宋_GB2312" w:hAnsi="宋体" w:eastAsia="仿宋_GB2312"/>
                <w:sz w:val="18"/>
                <w:szCs w:val="18"/>
                <w:highlight w:val="yellow"/>
              </w:rPr>
            </w:pPr>
          </w:p>
        </w:tc>
        <w:tc>
          <w:tcPr>
            <w:tcW w:w="948" w:type="dxa"/>
            <w:vMerge w:val="continue"/>
          </w:tcPr>
          <w:p>
            <w:pPr>
              <w:spacing w:line="240" w:lineRule="exact"/>
              <w:rPr>
                <w:rFonts w:ascii="仿宋_GB2312" w:hAnsi="Times New Roman" w:eastAsia="仿宋_GB2312"/>
                <w:sz w:val="18"/>
                <w:szCs w:val="18"/>
                <w:highlight w:val="yellow"/>
              </w:rPr>
            </w:pPr>
          </w:p>
        </w:tc>
        <w:tc>
          <w:tcPr>
            <w:tcW w:w="2713" w:type="dxa"/>
            <w:vMerge w:val="continue"/>
          </w:tcPr>
          <w:p>
            <w:pPr>
              <w:spacing w:line="240" w:lineRule="exact"/>
              <w:rPr>
                <w:rFonts w:ascii="仿宋_GB2312" w:hAnsi="Times New Roman" w:eastAsia="仿宋_GB2312"/>
                <w:sz w:val="18"/>
                <w:szCs w:val="18"/>
                <w:highlight w:val="yellow"/>
              </w:rPr>
            </w:pPr>
          </w:p>
        </w:tc>
        <w:tc>
          <w:tcPr>
            <w:tcW w:w="1675" w:type="dxa"/>
            <w:vMerge w:val="continue"/>
          </w:tcPr>
          <w:p>
            <w:pPr>
              <w:spacing w:line="240" w:lineRule="exact"/>
              <w:rPr>
                <w:rFonts w:ascii="仿宋_GB2312" w:hAnsi="Times New Roman" w:eastAsia="仿宋_GB2312"/>
                <w:sz w:val="18"/>
                <w:szCs w:val="18"/>
                <w:highlight w:val="yellow"/>
              </w:rPr>
            </w:pPr>
          </w:p>
        </w:tc>
        <w:tc>
          <w:tcPr>
            <w:tcW w:w="1412" w:type="dxa"/>
            <w:vAlign w:val="center"/>
          </w:tcPr>
          <w:p>
            <w:pPr>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213" w:type="dxa"/>
            <w:vMerge w:val="continue"/>
          </w:tcPr>
          <w:p>
            <w:pPr>
              <w:spacing w:line="240" w:lineRule="exact"/>
              <w:rPr>
                <w:rFonts w:ascii="仿宋_GB2312" w:hAnsi="Times New Roman" w:eastAsia="仿宋_GB2312"/>
                <w:sz w:val="18"/>
                <w:szCs w:val="18"/>
                <w:highlight w:val="yellow"/>
              </w:rPr>
            </w:pPr>
          </w:p>
        </w:tc>
        <w:tc>
          <w:tcPr>
            <w:tcW w:w="2327" w:type="dxa"/>
            <w:vMerge w:val="continue"/>
          </w:tcPr>
          <w:p>
            <w:pPr>
              <w:spacing w:line="240" w:lineRule="exact"/>
              <w:jc w:val="left"/>
              <w:rPr>
                <w:rFonts w:ascii="仿宋_GB2312" w:hAnsi="宋体" w:eastAsia="仿宋_GB2312"/>
                <w:sz w:val="18"/>
                <w:szCs w:val="18"/>
                <w:highlight w:val="yellow"/>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olor w:val="000000"/>
                <w:sz w:val="18"/>
                <w:szCs w:val="18"/>
              </w:rPr>
            </w:pPr>
          </w:p>
        </w:tc>
        <w:tc>
          <w:tcPr>
            <w:tcW w:w="551" w:type="dxa"/>
            <w:vMerge w:val="continue"/>
          </w:tcPr>
          <w:p>
            <w:pPr>
              <w:spacing w:line="240" w:lineRule="exact"/>
              <w:jc w:val="center"/>
              <w:rPr>
                <w:rFonts w:ascii="Times New Roman" w:hAnsi="Times New Roman"/>
                <w:sz w:val="30"/>
                <w:szCs w:val="30"/>
                <w:highlight w:val="yellow"/>
              </w:rPr>
            </w:pPr>
          </w:p>
        </w:tc>
        <w:tc>
          <w:tcPr>
            <w:tcW w:w="720" w:type="dxa"/>
          </w:tcPr>
          <w:p>
            <w:pPr>
              <w:spacing w:line="240" w:lineRule="exact"/>
              <w:jc w:val="center"/>
              <w:rPr>
                <w:rFonts w:ascii="仿宋" w:hAnsi="仿宋" w:eastAsia="仿宋"/>
                <w:sz w:val="30"/>
                <w:szCs w:val="3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948"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3"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县（市、区）人民政府建设用地请示；</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县（市、区）自然资源主管部门建设用地审查意见；</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3.</w:t>
            </w:r>
            <w:r>
              <w:rPr>
                <w:rFonts w:hint="eastAsia" w:ascii="仿宋_GB2312" w:eastAsia="仿宋_GB2312"/>
                <w:color w:val="000000"/>
                <w:sz w:val="18"/>
                <w:szCs w:val="18"/>
              </w:rPr>
              <w:t>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其他相关文字报批材料和图件由各省（区、市）确定公开方式〕。</w:t>
            </w:r>
          </w:p>
        </w:tc>
        <w:tc>
          <w:tcPr>
            <w:tcW w:w="1675"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412"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个工作日内公开。</w:t>
            </w:r>
          </w:p>
        </w:tc>
        <w:tc>
          <w:tcPr>
            <w:tcW w:w="1213" w:type="dxa"/>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tcPr>
          <w:p>
            <w:pPr>
              <w:jc w:val="left"/>
              <w:rPr>
                <w:rFonts w:ascii="仿宋_GB2312" w:hAnsi="宋体" w:eastAsia="仿宋_GB2312"/>
                <w:sz w:val="18"/>
                <w:szCs w:val="18"/>
                <w:highlight w:val="yellow"/>
              </w:rPr>
            </w:pPr>
          </w:p>
        </w:tc>
        <w:tc>
          <w:tcPr>
            <w:tcW w:w="948"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3"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有权一级人民政府批准用地的批复文件、地方人民政府转发批复文件应予以公开。</w:t>
            </w:r>
            <w:r>
              <w:rPr>
                <w:rFonts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国务院批准用地批复文件（指用地由国务院批准）；</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省级人民政府批准用地批复文件（指用地由省级人民政府批准）；</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3.</w:t>
            </w:r>
            <w:r>
              <w:rPr>
                <w:rFonts w:hint="eastAsia" w:ascii="仿宋_GB2312" w:eastAsia="仿宋_GB2312"/>
                <w:color w:val="000000"/>
                <w:sz w:val="18"/>
                <w:szCs w:val="18"/>
              </w:rPr>
              <w:t>国务院批准城市用地后省级人民政府审核同意实施方案文件；</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4.</w:t>
            </w:r>
            <w:r>
              <w:rPr>
                <w:rFonts w:hint="eastAsia" w:ascii="仿宋_GB2312" w:eastAsia="仿宋_GB2312"/>
                <w:color w:val="000000"/>
                <w:sz w:val="18"/>
                <w:szCs w:val="18"/>
              </w:rPr>
              <w:t>地方人民政府转发用地批复文件；</w:t>
            </w:r>
          </w:p>
          <w:p>
            <w:pPr>
              <w:widowControl/>
              <w:spacing w:line="260" w:lineRule="exact"/>
              <w:rPr>
                <w:rFonts w:ascii="仿宋_GB2312" w:eastAsia="仿宋_GB2312"/>
                <w:color w:val="000000"/>
                <w:sz w:val="18"/>
                <w:szCs w:val="18"/>
              </w:rPr>
            </w:pPr>
            <w:r>
              <w:rPr>
                <w:rFonts w:ascii="仿宋_GB2312" w:eastAsia="仿宋_GB2312"/>
                <w:color w:val="000000"/>
                <w:sz w:val="18"/>
                <w:szCs w:val="18"/>
              </w:rPr>
              <w:t>5.</w:t>
            </w:r>
            <w:r>
              <w:rPr>
                <w:rFonts w:hint="eastAsia" w:ascii="仿宋_GB2312" w:eastAsia="仿宋_GB2312"/>
                <w:color w:val="000000"/>
                <w:sz w:val="18"/>
                <w:szCs w:val="18"/>
              </w:rPr>
              <w:t>其他用地批准文件。</w:t>
            </w:r>
          </w:p>
        </w:tc>
        <w:tc>
          <w:tcPr>
            <w:tcW w:w="1675"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412"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个工作日内公开。</w:t>
            </w:r>
          </w:p>
        </w:tc>
        <w:tc>
          <w:tcPr>
            <w:tcW w:w="1213" w:type="dxa"/>
            <w:vAlign w:val="center"/>
          </w:tcPr>
          <w:p>
            <w:pPr>
              <w:widowControl/>
              <w:spacing w:line="260" w:lineRule="exact"/>
              <w:jc w:val="lef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948"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3"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征地批准机关、批准文号、批准时间和批准用途；</w:t>
            </w:r>
          </w:p>
          <w:p>
            <w:pPr>
              <w:spacing w:line="260" w:lineRule="exact"/>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被征收土地的所有权人、位置、地类、面积；</w:t>
            </w:r>
          </w:p>
          <w:p>
            <w:pPr>
              <w:spacing w:line="260" w:lineRule="exact"/>
              <w:rPr>
                <w:rFonts w:ascii="仿宋_GB2312" w:eastAsia="仿宋_GB2312"/>
                <w:color w:val="000000"/>
                <w:sz w:val="18"/>
                <w:szCs w:val="18"/>
              </w:rPr>
            </w:pPr>
            <w:r>
              <w:rPr>
                <w:rFonts w:ascii="仿宋_GB2312" w:eastAsia="仿宋_GB2312"/>
                <w:color w:val="000000"/>
                <w:sz w:val="18"/>
                <w:szCs w:val="18"/>
              </w:rPr>
              <w:t>3.</w:t>
            </w:r>
            <w:r>
              <w:rPr>
                <w:rFonts w:hint="eastAsia" w:ascii="仿宋_GB2312" w:eastAsia="仿宋_GB2312"/>
                <w:color w:val="000000"/>
                <w:sz w:val="18"/>
                <w:szCs w:val="18"/>
              </w:rPr>
              <w:t>征地补偿标准、农业人口安置方式、社会保障途径等；</w:t>
            </w:r>
          </w:p>
          <w:p>
            <w:pPr>
              <w:spacing w:line="260" w:lineRule="exact"/>
              <w:rPr>
                <w:rFonts w:ascii="仿宋_GB2312" w:eastAsia="仿宋_GB2312"/>
                <w:color w:val="000000"/>
                <w:sz w:val="18"/>
                <w:szCs w:val="18"/>
              </w:rPr>
            </w:pPr>
            <w:r>
              <w:rPr>
                <w:rFonts w:ascii="仿宋_GB2312" w:eastAsia="仿宋_GB2312"/>
                <w:color w:val="000000"/>
                <w:sz w:val="18"/>
                <w:szCs w:val="18"/>
              </w:rPr>
              <w:t>4.</w:t>
            </w:r>
            <w:r>
              <w:rPr>
                <w:rFonts w:hint="eastAsia" w:ascii="仿宋_GB2312" w:eastAsia="仿宋_GB2312"/>
                <w:color w:val="000000"/>
                <w:sz w:val="18"/>
                <w:szCs w:val="18"/>
              </w:rPr>
              <w:t>办理征地补偿登记的期限、地点和要求；</w:t>
            </w:r>
          </w:p>
          <w:p>
            <w:pPr>
              <w:spacing w:line="260" w:lineRule="exact"/>
              <w:rPr>
                <w:rFonts w:ascii="仿宋_GB2312" w:eastAsia="仿宋_GB2312"/>
                <w:color w:val="000000"/>
                <w:sz w:val="18"/>
                <w:szCs w:val="18"/>
              </w:rPr>
            </w:pPr>
            <w:r>
              <w:rPr>
                <w:rFonts w:ascii="仿宋_GB2312" w:eastAsia="仿宋_GB2312"/>
                <w:color w:val="000000"/>
                <w:sz w:val="18"/>
                <w:szCs w:val="18"/>
              </w:rPr>
              <w:t>5.</w:t>
            </w:r>
            <w:r>
              <w:rPr>
                <w:rFonts w:hint="eastAsia" w:ascii="仿宋_GB2312" w:eastAsia="仿宋_GB2312"/>
                <w:color w:val="000000"/>
                <w:sz w:val="18"/>
                <w:szCs w:val="18"/>
              </w:rPr>
              <w:t>救济途径。</w:t>
            </w:r>
          </w:p>
        </w:tc>
        <w:tc>
          <w:tcPr>
            <w:tcW w:w="1675"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412"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个工作日内公开。</w:t>
            </w:r>
          </w:p>
        </w:tc>
        <w:tc>
          <w:tcPr>
            <w:tcW w:w="1213" w:type="dxa"/>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948"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征地补偿登记</w:t>
            </w:r>
          </w:p>
        </w:tc>
        <w:tc>
          <w:tcPr>
            <w:tcW w:w="2713" w:type="dxa"/>
            <w:vAlign w:val="center"/>
          </w:tcPr>
          <w:p>
            <w:pPr>
              <w:rPr>
                <w:rFonts w:ascii="仿宋_GB2312" w:eastAsia="仿宋_GB2312"/>
                <w:color w:val="000000"/>
                <w:sz w:val="18"/>
                <w:szCs w:val="18"/>
              </w:rPr>
            </w:pPr>
            <w:r>
              <w:rPr>
                <w:rFonts w:hint="eastAsia" w:ascii="仿宋_GB2312" w:eastAsia="仿宋_GB2312"/>
                <w:color w:val="000000"/>
                <w:sz w:val="18"/>
                <w:szCs w:val="18"/>
              </w:rPr>
              <w:t>征地补偿登记汇总表。</w:t>
            </w:r>
          </w:p>
          <w:p>
            <w:pPr>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征地补偿登记前置与征收土地现状调查合并进行的，在前置环节一并公开〕。</w:t>
            </w:r>
          </w:p>
        </w:tc>
        <w:tc>
          <w:tcPr>
            <w:tcW w:w="1675"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412"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w:t>
            </w:r>
            <w:r>
              <w:rPr>
                <w:rFonts w:ascii="仿宋_GB2312" w:eastAsia="仿宋_GB2312"/>
                <w:color w:val="000000"/>
                <w:sz w:val="18"/>
                <w:szCs w:val="18"/>
              </w:rPr>
              <w:t>5</w:t>
            </w:r>
            <w:r>
              <w:rPr>
                <w:rFonts w:hint="eastAsia" w:ascii="仿宋_GB2312" w:eastAsia="仿宋_GB2312"/>
                <w:color w:val="000000"/>
                <w:sz w:val="18"/>
                <w:szCs w:val="18"/>
              </w:rPr>
              <w:t>个工作日内公开。公示结束后，转为依申请公开。</w:t>
            </w:r>
          </w:p>
        </w:tc>
        <w:tc>
          <w:tcPr>
            <w:tcW w:w="1213" w:type="dxa"/>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tcPr>
          <w:p>
            <w:pPr>
              <w:jc w:val="left"/>
              <w:rPr>
                <w:rFonts w:ascii="仿宋_GB2312" w:hAnsi="宋体" w:eastAsia="仿宋_GB2312"/>
                <w:sz w:val="18"/>
                <w:szCs w:val="18"/>
                <w:highlight w:val="yellow"/>
              </w:rPr>
            </w:pPr>
          </w:p>
        </w:tc>
        <w:tc>
          <w:tcPr>
            <w:tcW w:w="948"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3"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被征收土地的位置、地类、面积，地上附着物和青苗的种类、数量，需要安置的农业人口和数量；</w:t>
            </w:r>
            <w:r>
              <w:rPr>
                <w:rFonts w:ascii="仿宋_GB2312" w:eastAsia="仿宋_GB2312"/>
                <w:color w:val="000000"/>
                <w:sz w:val="18"/>
                <w:szCs w:val="18"/>
              </w:rPr>
              <w:t xml:space="preserve"> </w:t>
            </w:r>
          </w:p>
          <w:p>
            <w:pPr>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土地补偿费和安置补助费的标准、数额、支付对象和支付方式；</w:t>
            </w:r>
          </w:p>
          <w:p>
            <w:pPr>
              <w:rPr>
                <w:rFonts w:ascii="仿宋_GB2312" w:eastAsia="仿宋_GB2312"/>
                <w:color w:val="000000"/>
                <w:sz w:val="18"/>
                <w:szCs w:val="18"/>
              </w:rPr>
            </w:pPr>
            <w:r>
              <w:rPr>
                <w:rFonts w:ascii="仿宋_GB2312" w:eastAsia="仿宋_GB2312"/>
                <w:color w:val="000000"/>
                <w:sz w:val="18"/>
                <w:szCs w:val="18"/>
              </w:rPr>
              <w:t>3.</w:t>
            </w:r>
            <w:r>
              <w:rPr>
                <w:rFonts w:hint="eastAsia" w:ascii="仿宋_GB2312" w:eastAsia="仿宋_GB2312"/>
                <w:color w:val="000000"/>
                <w:sz w:val="18"/>
                <w:szCs w:val="18"/>
              </w:rPr>
              <w:t>地上附着物和青苗的补偿标准与支付方式；</w:t>
            </w:r>
          </w:p>
          <w:p>
            <w:pPr>
              <w:rPr>
                <w:rFonts w:ascii="仿宋_GB2312" w:eastAsia="仿宋_GB2312"/>
                <w:color w:val="000000"/>
                <w:sz w:val="18"/>
                <w:szCs w:val="18"/>
              </w:rPr>
            </w:pPr>
            <w:r>
              <w:rPr>
                <w:rFonts w:ascii="仿宋_GB2312" w:eastAsia="仿宋_GB2312"/>
                <w:color w:val="000000"/>
                <w:sz w:val="18"/>
                <w:szCs w:val="18"/>
              </w:rPr>
              <w:t>4.</w:t>
            </w:r>
            <w:r>
              <w:rPr>
                <w:rFonts w:hint="eastAsia" w:ascii="仿宋_GB2312" w:eastAsia="仿宋_GB2312"/>
                <w:color w:val="000000"/>
                <w:sz w:val="18"/>
                <w:szCs w:val="18"/>
              </w:rPr>
              <w:t>社会保障费用的筹集方法、缴费比例和办法；</w:t>
            </w:r>
          </w:p>
          <w:p>
            <w:pPr>
              <w:rPr>
                <w:rFonts w:ascii="仿宋_GB2312" w:eastAsia="仿宋_GB2312"/>
                <w:color w:val="000000"/>
                <w:sz w:val="18"/>
                <w:szCs w:val="18"/>
              </w:rPr>
            </w:pPr>
            <w:r>
              <w:rPr>
                <w:rFonts w:ascii="仿宋_GB2312" w:eastAsia="仿宋_GB2312"/>
                <w:color w:val="000000"/>
                <w:sz w:val="18"/>
                <w:szCs w:val="18"/>
              </w:rPr>
              <w:t>5.</w:t>
            </w:r>
            <w:r>
              <w:rPr>
                <w:rFonts w:hint="eastAsia" w:ascii="仿宋_GB2312" w:eastAsia="仿宋_GB2312"/>
                <w:color w:val="000000"/>
                <w:sz w:val="18"/>
                <w:szCs w:val="18"/>
              </w:rPr>
              <w:t>农业人员安置具体途径；</w:t>
            </w:r>
          </w:p>
          <w:p>
            <w:pPr>
              <w:rPr>
                <w:rFonts w:ascii="仿宋_GB2312" w:eastAsia="仿宋_GB2312"/>
                <w:color w:val="000000"/>
                <w:sz w:val="18"/>
                <w:szCs w:val="18"/>
              </w:rPr>
            </w:pPr>
            <w:r>
              <w:rPr>
                <w:rFonts w:ascii="仿宋_GB2312" w:eastAsia="仿宋_GB2312"/>
                <w:color w:val="000000"/>
                <w:sz w:val="18"/>
                <w:szCs w:val="18"/>
              </w:rPr>
              <w:t>6.</w:t>
            </w:r>
            <w:r>
              <w:rPr>
                <w:rFonts w:hint="eastAsia" w:ascii="仿宋_GB2312" w:eastAsia="仿宋_GB2312"/>
                <w:color w:val="000000"/>
                <w:sz w:val="18"/>
                <w:szCs w:val="18"/>
              </w:rPr>
              <w:t>其他有关征地补偿、安置的具体措施；</w:t>
            </w:r>
          </w:p>
          <w:p>
            <w:pPr>
              <w:rPr>
                <w:rFonts w:ascii="仿宋_GB2312" w:eastAsia="仿宋_GB2312"/>
                <w:color w:val="000000"/>
                <w:sz w:val="18"/>
                <w:szCs w:val="18"/>
              </w:rPr>
            </w:pPr>
            <w:r>
              <w:rPr>
                <w:rFonts w:ascii="仿宋_GB2312" w:eastAsia="仿宋_GB2312"/>
                <w:color w:val="000000"/>
                <w:sz w:val="18"/>
                <w:szCs w:val="18"/>
              </w:rPr>
              <w:t>7.</w:t>
            </w:r>
            <w:r>
              <w:rPr>
                <w:rFonts w:hint="eastAsia" w:ascii="仿宋_GB2312" w:eastAsia="仿宋_GB2312"/>
                <w:color w:val="000000"/>
                <w:sz w:val="18"/>
                <w:szCs w:val="18"/>
              </w:rPr>
              <w:t>听证等救济途径；</w:t>
            </w:r>
          </w:p>
          <w:p>
            <w:pPr>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征地补偿安置方案前置的，在前置环节一并公开〕。</w:t>
            </w:r>
          </w:p>
        </w:tc>
        <w:tc>
          <w:tcPr>
            <w:tcW w:w="1675"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412"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w:t>
            </w:r>
            <w:r>
              <w:rPr>
                <w:rFonts w:ascii="仿宋_GB2312" w:eastAsia="仿宋_GB2312"/>
                <w:color w:val="000000"/>
                <w:sz w:val="18"/>
                <w:szCs w:val="18"/>
              </w:rPr>
              <w:t>5</w:t>
            </w:r>
            <w:r>
              <w:rPr>
                <w:rFonts w:hint="eastAsia" w:ascii="仿宋_GB2312" w:eastAsia="仿宋_GB2312"/>
                <w:color w:val="000000"/>
                <w:sz w:val="18"/>
                <w:szCs w:val="18"/>
              </w:rPr>
              <w:t>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1213" w:type="dxa"/>
            <w:vAlign w:val="center"/>
          </w:tcPr>
          <w:p>
            <w:pPr>
              <w:widowControl/>
              <w:spacing w:line="32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p>
        </w:tc>
        <w:tc>
          <w:tcPr>
            <w:tcW w:w="709"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948"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3"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《听证通知书》；</w:t>
            </w:r>
          </w:p>
          <w:p>
            <w:pPr>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听证处理意见；〔</w:t>
            </w:r>
            <w:r>
              <w:rPr>
                <w:rFonts w:ascii="仿宋_GB2312" w:eastAsia="仿宋_GB2312"/>
                <w:color w:val="000000"/>
                <w:sz w:val="18"/>
                <w:szCs w:val="18"/>
              </w:rPr>
              <w:t>*</w:t>
            </w:r>
            <w:r>
              <w:rPr>
                <w:rFonts w:hint="eastAsia" w:ascii="仿宋_GB2312" w:eastAsia="仿宋_GB2312"/>
                <w:color w:val="000000"/>
                <w:sz w:val="18"/>
                <w:szCs w:val="18"/>
              </w:rPr>
              <w:t>听证笔录有关资料〕。</w:t>
            </w:r>
          </w:p>
        </w:tc>
        <w:tc>
          <w:tcPr>
            <w:tcW w:w="16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412"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w:t>
            </w:r>
            <w:r>
              <w:rPr>
                <w:rFonts w:ascii="仿宋_GB2312" w:eastAsia="仿宋_GB2312"/>
                <w:color w:val="000000"/>
                <w:sz w:val="18"/>
                <w:szCs w:val="18"/>
              </w:rPr>
              <w:t>7</w:t>
            </w:r>
            <w:r>
              <w:rPr>
                <w:rFonts w:hint="eastAsia" w:ascii="仿宋_GB2312" w:eastAsia="仿宋_GB2312"/>
                <w:color w:val="000000"/>
                <w:sz w:val="18"/>
                <w:szCs w:val="18"/>
              </w:rPr>
              <w:t>个工作日前予以公开；②其他听证公开内容在征地听证结束后</w:t>
            </w:r>
            <w:r>
              <w:rPr>
                <w:rFonts w:ascii="仿宋_GB2312" w:eastAsia="仿宋_GB2312"/>
                <w:color w:val="000000"/>
                <w:sz w:val="18"/>
                <w:szCs w:val="18"/>
              </w:rPr>
              <w:t>5</w:t>
            </w:r>
            <w:r>
              <w:rPr>
                <w:rFonts w:hint="eastAsia" w:ascii="仿宋_GB2312" w:eastAsia="仿宋_GB2312"/>
                <w:color w:val="000000"/>
                <w:sz w:val="18"/>
                <w:szCs w:val="18"/>
              </w:rPr>
              <w:t>个工作日内公开。公示结束后，转为依申请公开。</w:t>
            </w:r>
          </w:p>
        </w:tc>
        <w:tc>
          <w:tcPr>
            <w:tcW w:w="1213" w:type="dxa"/>
            <w:vAlign w:val="center"/>
          </w:tcPr>
          <w:p>
            <w:pPr>
              <w:widowControl/>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4"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tcPr>
          <w:p>
            <w:pPr>
              <w:jc w:val="left"/>
              <w:rPr>
                <w:rFonts w:ascii="仿宋_GB2312" w:hAnsi="宋体" w:eastAsia="仿宋_GB2312"/>
                <w:sz w:val="18"/>
                <w:szCs w:val="18"/>
                <w:highlight w:val="yellow"/>
              </w:rPr>
            </w:pPr>
          </w:p>
        </w:tc>
        <w:tc>
          <w:tcPr>
            <w:tcW w:w="948"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3"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w:t>
            </w:r>
            <w:r>
              <w:rPr>
                <w:rFonts w:ascii="仿宋_GB2312" w:eastAsia="仿宋_GB2312"/>
                <w:color w:val="000000"/>
                <w:sz w:val="18"/>
                <w:szCs w:val="18"/>
              </w:rPr>
              <w:t>20</w:t>
            </w:r>
            <w:r>
              <w:rPr>
                <w:rFonts w:hint="eastAsia" w:ascii="仿宋_GB2312" w:eastAsia="仿宋_GB2312"/>
                <w:color w:val="000000"/>
                <w:sz w:val="18"/>
                <w:szCs w:val="18"/>
              </w:rPr>
              <w:t>个工作日后可依申请公开〕。</w:t>
            </w:r>
          </w:p>
        </w:tc>
        <w:tc>
          <w:tcPr>
            <w:tcW w:w="1675"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412"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w:t>
            </w:r>
            <w:r>
              <w:rPr>
                <w:rFonts w:ascii="仿宋_GB2312" w:eastAsia="仿宋_GB2312"/>
                <w:color w:val="000000"/>
                <w:sz w:val="18"/>
                <w:szCs w:val="18"/>
              </w:rPr>
              <w:t>5</w:t>
            </w:r>
            <w:r>
              <w:rPr>
                <w:rFonts w:hint="eastAsia" w:ascii="仿宋_GB2312" w:eastAsia="仿宋_GB2312"/>
                <w:color w:val="000000"/>
                <w:sz w:val="18"/>
                <w:szCs w:val="18"/>
              </w:rPr>
              <w:t>个工作日内予以公开。公示结束后，转为依申请公开。</w:t>
            </w:r>
          </w:p>
        </w:tc>
        <w:tc>
          <w:tcPr>
            <w:tcW w:w="1213" w:type="dxa"/>
            <w:vAlign w:val="center"/>
          </w:tcPr>
          <w:p>
            <w:pPr>
              <w:widowControl/>
              <w:spacing w:line="320" w:lineRule="exact"/>
              <w:rPr>
                <w:rFonts w:ascii="仿宋_GB2312" w:eastAsia="仿宋_GB2312"/>
                <w:color w:val="000000"/>
                <w:sz w:val="18"/>
                <w:szCs w:val="18"/>
              </w:rPr>
            </w:pPr>
            <w:r>
              <w:rPr>
                <w:rFonts w:hint="eastAsia" w:ascii="仿宋_GB2312" w:hAnsi="宋体" w:eastAsia="仿宋_GB2312"/>
                <w:color w:val="000000"/>
                <w:sz w:val="18"/>
                <w:szCs w:val="18"/>
              </w:rPr>
              <w:t>自然资源和规划局</w:t>
            </w:r>
          </w:p>
        </w:tc>
        <w:tc>
          <w:tcPr>
            <w:tcW w:w="2327"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87FA7"/>
    <w:rsid w:val="00055A42"/>
    <w:rsid w:val="0013621C"/>
    <w:rsid w:val="00224EA0"/>
    <w:rsid w:val="0045416E"/>
    <w:rsid w:val="005C5BB5"/>
    <w:rsid w:val="005D6540"/>
    <w:rsid w:val="00650A82"/>
    <w:rsid w:val="0076011A"/>
    <w:rsid w:val="00822B22"/>
    <w:rsid w:val="00834B97"/>
    <w:rsid w:val="008E06A1"/>
    <w:rsid w:val="009554A5"/>
    <w:rsid w:val="00956633"/>
    <w:rsid w:val="009E3A23"/>
    <w:rsid w:val="00A03968"/>
    <w:rsid w:val="00A12AC7"/>
    <w:rsid w:val="00B14F92"/>
    <w:rsid w:val="00B3053E"/>
    <w:rsid w:val="00C04BB7"/>
    <w:rsid w:val="00CE70C5"/>
    <w:rsid w:val="00D2369D"/>
    <w:rsid w:val="00DC29A1"/>
    <w:rsid w:val="00F179FD"/>
    <w:rsid w:val="00F9640B"/>
    <w:rsid w:val="00FF2A06"/>
    <w:rsid w:val="125706BD"/>
    <w:rsid w:val="1C0049DC"/>
    <w:rsid w:val="326C200A"/>
    <w:rsid w:val="50822169"/>
    <w:rsid w:val="63E31073"/>
    <w:rsid w:val="72987FA7"/>
    <w:rsid w:val="7B7D2E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4"/>
    <w:link w:val="2"/>
    <w:qFormat/>
    <w:locked/>
    <w:uiPriority w:val="99"/>
    <w:rPr>
      <w:rFonts w:ascii="Calibri" w:hAnsi="Calibri"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476</Words>
  <Characters>2717</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2020-09-11T01:32:00Z</dcterms:created>
  <dc:creator>Administrator</dc:creator>
  <cp:lastModifiedBy>Administrator</cp:lastModifiedBy>
  <cp:lastPrinted>2020-09-11T08:34:00Z</cp:lastPrinted>
  <dcterms:modified xsi:type="dcterms:W3CDTF">2022-01-03T01:42:40Z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